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                                                                                       </w:t>
      </w:r>
      <w:r>
        <w:rPr>
          <w:rFonts w:ascii="Times New Roman" w:cs="Times New Roman" w:hAnsi="Times New Roman" w:eastAsia="Times New Roman"/>
          <w:sz w:val="20"/>
          <w:szCs w:val="20"/>
        </w:rPr>
        <mc:AlternateContent>
          <mc:Choice Requires="wpg">
            <w:drawing xmlns:a="http://schemas.openxmlformats.org/drawingml/2006/main">
              <wp:inline distT="0" distB="0" distL="0" distR="0">
                <wp:extent cx="634366" cy="682625"/>
                <wp:effectExtent l="0" t="0" r="0" b="0"/>
                <wp:docPr id="1073741827" name="officeArt object" descr="Рисунок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6" cy="682625"/>
                          <a:chOff x="0" y="0"/>
                          <a:chExt cx="634365" cy="682625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634366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6" cy="682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50.0pt;height:53.8pt;" coordorigin="0,0" coordsize="634365,682625">
                <v:rect id="_x0000_s1027" style="position:absolute;left:0;top:0;width:634365;height:6826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34365;height:682625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АДМИНИСТРАЦИЯ  ГОРОДА  ПОКАЧИ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ХАНТЫ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МАНСИЙСКОГО АВТОНОМНОГО ОКРУГА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ЮГРЫ</w:t>
      </w: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УПРАВЛЯЮЩИЙ  ДЕЛАМИ АДМИНИСТРАЦИИ ГОРОДА ПОКАЧИ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Мира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д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. 8/1,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г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Покачи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Ханты</w:t>
      </w:r>
      <w:r>
        <w:rPr>
          <w:rFonts w:ascii="Times New Roman" w:hAnsi="Times New Roman"/>
          <w:sz w:val="16"/>
          <w:szCs w:val="16"/>
          <w:rtl w:val="0"/>
          <w:lang w:val="ru-RU"/>
        </w:rPr>
        <w:t>-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Мансийский автономный округ</w:t>
      </w:r>
      <w:r>
        <w:rPr>
          <w:rFonts w:ascii="Times New Roman" w:hAnsi="Times New Roman"/>
          <w:sz w:val="16"/>
          <w:szCs w:val="16"/>
          <w:rtl w:val="0"/>
          <w:lang w:val="ru-RU"/>
        </w:rPr>
        <w:t>-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Югра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Тюменская область</w:t>
      </w:r>
      <w:r>
        <w:rPr>
          <w:rFonts w:ascii="Times New Roman" w:hAnsi="Times New Roman"/>
          <w:sz w:val="16"/>
          <w:szCs w:val="16"/>
          <w:rtl w:val="0"/>
          <w:lang w:val="ru-RU"/>
        </w:rPr>
        <w:t>), 628661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Тел</w:t>
      </w:r>
      <w:r>
        <w:rPr>
          <w:rFonts w:ascii="Times New Roman" w:hAnsi="Times New Roman"/>
          <w:sz w:val="16"/>
          <w:szCs w:val="16"/>
          <w:rtl w:val="0"/>
          <w:lang w:val="ru-RU"/>
        </w:rPr>
        <w:t>./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факс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(34669) 7-99-49.  </w:t>
      </w:r>
      <w:r>
        <w:rPr>
          <w:rFonts w:ascii="Times New Roman" w:hAnsi="Times New Roman"/>
          <w:sz w:val="16"/>
          <w:szCs w:val="16"/>
          <w:rtl w:val="0"/>
          <w:lang w:val="en-US"/>
        </w:rPr>
        <w:t>E</w:t>
      </w:r>
      <w:r>
        <w:rPr>
          <w:rFonts w:ascii="Times New Roman" w:hAnsi="Times New Roman"/>
          <w:sz w:val="16"/>
          <w:szCs w:val="16"/>
          <w:rtl w:val="0"/>
          <w:lang w:val="ru-RU"/>
        </w:rPr>
        <w:t>-</w:t>
      </w:r>
      <w:r>
        <w:rPr>
          <w:rFonts w:ascii="Times New Roman" w:hAnsi="Times New Roman"/>
          <w:sz w:val="16"/>
          <w:szCs w:val="16"/>
          <w:rtl w:val="0"/>
          <w:lang w:val="en-US"/>
        </w:rPr>
        <w:t>mail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: </w:t>
      </w:r>
      <w:r>
        <w:rPr>
          <w:rFonts w:ascii="Times New Roman" w:hAnsi="Times New Roman"/>
          <w:sz w:val="16"/>
          <w:szCs w:val="16"/>
          <w:rtl w:val="0"/>
          <w:lang w:val="en-US"/>
        </w:rPr>
        <w:t>KuleshevichEA</w:t>
      </w:r>
      <w:r>
        <w:rPr>
          <w:rFonts w:ascii="Times New Roman" w:hAnsi="Times New Roman"/>
          <w:sz w:val="16"/>
          <w:szCs w:val="16"/>
          <w:rtl w:val="0"/>
          <w:lang w:val="ru-RU"/>
        </w:rPr>
        <w:t>@</w:t>
      </w:r>
      <w:r>
        <w:rPr>
          <w:rFonts w:ascii="Times New Roman" w:hAnsi="Times New Roman"/>
          <w:sz w:val="16"/>
          <w:szCs w:val="16"/>
          <w:rtl w:val="0"/>
          <w:lang w:val="en-US"/>
        </w:rPr>
        <w:t>admpokachi</w:t>
      </w:r>
      <w:r>
        <w:rPr>
          <w:rFonts w:ascii="Times New Roman" w:hAnsi="Times New Roman"/>
          <w:sz w:val="16"/>
          <w:szCs w:val="16"/>
          <w:rtl w:val="0"/>
          <w:lang w:val="ru-RU"/>
        </w:rPr>
        <w:t>.</w:t>
      </w:r>
      <w:r>
        <w:rPr>
          <w:rFonts w:ascii="Times New Roman" w:hAnsi="Times New Roman"/>
          <w:sz w:val="16"/>
          <w:szCs w:val="16"/>
          <w:rtl w:val="0"/>
          <w:lang w:val="en-US"/>
        </w:rPr>
        <w:t>ru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ОКПО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34942995,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ОГРН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1028601417954,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ИНН 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КПП   </w:t>
      </w:r>
      <w:r>
        <w:rPr>
          <w:rFonts w:ascii="Times New Roman" w:hAnsi="Times New Roman"/>
          <w:sz w:val="16"/>
          <w:szCs w:val="16"/>
          <w:rtl w:val="0"/>
          <w:lang w:val="ru-RU"/>
        </w:rPr>
        <w:t>8621003390 / 862101001</w:t>
      </w:r>
    </w:p>
    <w:p>
      <w:pPr>
        <w:pStyle w:val="Default"/>
        <w:ind w:firstLine="708"/>
        <w:jc w:val="both"/>
        <w:rPr>
          <w:sz w:val="26"/>
          <w:szCs w:val="26"/>
        </w:rPr>
      </w:pPr>
    </w:p>
    <w:p>
      <w:pPr>
        <w:pStyle w:val="Default"/>
        <w:widowControl w:val="0"/>
        <w:jc w:val="both"/>
        <w:rPr>
          <w:sz w:val="26"/>
          <w:szCs w:val="26"/>
        </w:rPr>
      </w:pPr>
    </w:p>
    <w:tbl>
      <w:tblPr>
        <w:tblW w:w="96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7"/>
        <w:gridCol w:w="4854"/>
        <w:gridCol w:w="3191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время</w:t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ФИО депутата Думы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место проведения встречи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03.07.2023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16:00-17:00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Руденко Александр Степанович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председатель  Думы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04.07.2023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16:00-17:00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Дмитрюк Сергей Александрович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 Думы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заместитель председателя Думы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05.07.2023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16:00-17:00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Тимошенко Анастасия Васильевна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 Думы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Руководитель ДО ВПП «ЕДИНАЯ РОССИЯ» при Думе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06.07.2023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16:00-17:00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Паутов Александр Борисович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 Думы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07.07.2023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16:00-17:00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Александрова Елена Владимировна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 Думы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участница «Женского движения Единой России в Югре» города Покачи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Default"/>
        <w:ind w:firstLine="708"/>
        <w:jc w:val="both"/>
        <w:rPr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line">
                  <wp:posOffset>141415</wp:posOffset>
                </wp:positionV>
                <wp:extent cx="1819248" cy="1132764"/>
                <wp:effectExtent l="0" t="0" r="0" b="0"/>
                <wp:wrapNone/>
                <wp:docPr id="1073741828" name="officeArt object" descr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48" cy="11327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hint="default"/>
                                <w:outline w:val="0"/>
                                <w:color w:val="000000"/>
                                <w:sz w:val="26"/>
                                <w:szCs w:val="26"/>
                                <w:u w:color="000000"/>
                                <w:rtl w:val="0"/>
                                <w:lang w:val="ru-RU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Управляющий делами администрации города Покачи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7pt;margin-top:11.1pt;width:143.2pt;height:8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40" w:lineRule="auto"/>
                        <w:jc w:val="both"/>
                      </w:pPr>
                      <w:r>
                        <w:rPr>
                          <w:rFonts w:ascii="Times New Roman" w:hAnsi="Times New Roman" w:hint="default"/>
                          <w:outline w:val="0"/>
                          <w:color w:val="000000"/>
                          <w:sz w:val="26"/>
                          <w:szCs w:val="26"/>
                          <w:u w:color="000000"/>
                          <w:rtl w:val="0"/>
                          <w:lang w:val="ru-RU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Управляющий делами администрации города Покачи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5"/>
        <w:gridCol w:w="4093"/>
        <w:gridCol w:w="2154"/>
      </w:tblGrid>
      <w:tr>
        <w:tblPrEx>
          <w:shd w:val="clear" w:color="auto" w:fill="ced7e7"/>
        </w:tblPrEx>
        <w:trPr>
          <w:trHeight w:val="1283" w:hRule="atLeast"/>
        </w:trPr>
        <w:tc>
          <w:tcPr>
            <w:tcW w:type="dxa" w:w="3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b w:val="1"/>
                <w:bCs w:val="1"/>
                <w:outline w:val="0"/>
                <w:color w:val="d9d9d9"/>
                <w:sz w:val="20"/>
                <w:szCs w:val="20"/>
                <w:u w:color="d9d9d9"/>
                <w:shd w:val="nil" w:color="auto" w:fill="auto"/>
                <w14:textFill>
                  <w14:solidFill>
                    <w14:srgbClr w14:val="D9D9D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d9d9d9"/>
                <w:sz w:val="20"/>
                <w:szCs w:val="20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ДОКУМЕНТ ПОДПИСАН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d9d9d9"/>
                <w:sz w:val="20"/>
                <w:szCs w:val="20"/>
                <w:u w:color="d9d9d9"/>
                <w:shd w:val="nil" w:color="auto" w:fill="auto"/>
                <w:rtl w:val="0"/>
                <w14:textFill>
                  <w14:solidFill>
                    <w14:srgbClr w14:val="D9D9D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d9d9d9"/>
                <w:sz w:val="20"/>
                <w:szCs w:val="20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ЭЛЕКТРОННОЙ ПОДПИСЬЮ</w:t>
            </w:r>
          </w:p>
          <w:p>
            <w:pPr>
              <w:pStyle w:val="Normal.0"/>
              <w:spacing w:after="0" w:line="240" w:lineRule="auto"/>
              <w:rPr>
                <w:outline w:val="0"/>
                <w:color w:val="d9d9d9"/>
                <w:sz w:val="8"/>
                <w:szCs w:val="8"/>
                <w:u w:color="d9d9d9"/>
                <w:shd w:val="nil" w:color="auto" w:fill="auto"/>
                <w:lang w:val="ru-RU"/>
                <w14:textFill>
                  <w14:solidFill>
                    <w14:srgbClr w14:val="D9D9D9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14:textFill>
                  <w14:solidFill>
                    <w14:srgbClr w14:val="D9D9D9"/>
                  </w14:solidFill>
                </w14:textFill>
              </w:rPr>
            </w:pP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Сертификат  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[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Номер сертификата 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1]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14:textFill>
                  <w14:solidFill>
                    <w14:srgbClr w14:val="D9D9D9"/>
                  </w14:solidFill>
                </w14:textFill>
              </w:rPr>
            </w:pP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Владелец 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[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Владелец сертификата </w:t>
            </w:r>
            <w:r>
              <w:rPr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1]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Действителен с </w:t>
            </w:r>
            <w:r>
              <w:rPr>
                <w:rFonts w:ascii="Calibri" w:hAnsi="Calibri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[</w:t>
            </w:r>
            <w:r>
              <w:rPr>
                <w:rFonts w:ascii="Calibri" w:hAnsi="Calibri" w:hint="default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ДатаС </w:t>
            </w:r>
            <w:r>
              <w:rPr>
                <w:rFonts w:ascii="Calibri" w:hAnsi="Calibri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1] </w:t>
            </w:r>
            <w:r>
              <w:rPr>
                <w:rFonts w:ascii="Calibri" w:hAnsi="Calibri" w:hint="default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по </w:t>
            </w:r>
            <w:r>
              <w:rPr>
                <w:rFonts w:ascii="Calibri" w:hAnsi="Calibri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[</w:t>
            </w:r>
            <w:r>
              <w:rPr>
                <w:rFonts w:ascii="Calibri" w:hAnsi="Calibri" w:hint="default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 xml:space="preserve">ДатаПо </w:t>
            </w:r>
            <w:r>
              <w:rPr>
                <w:rFonts w:ascii="Calibri" w:hAnsi="Calibri"/>
                <w:outline w:val="0"/>
                <w:color w:val="d9d9d9"/>
                <w:sz w:val="18"/>
                <w:szCs w:val="18"/>
                <w:u w:color="d9d9d9"/>
                <w:shd w:val="nil" w:color="auto" w:fill="auto"/>
                <w:rtl w:val="0"/>
                <w:lang w:val="ru-RU"/>
                <w14:textFill>
                  <w14:solidFill>
                    <w14:srgbClr w14:val="D9D9D9"/>
                  </w14:solidFill>
                </w14:textFill>
              </w:rPr>
              <w:t>1]</w:t>
            </w:r>
          </w:p>
        </w:tc>
        <w:tc>
          <w:tcPr>
            <w:tcW w:type="dxa" w:w="21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                      Кулешевич Е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16"/>
          <w:szCs w:val="16"/>
        </w:rPr>
      </w:r>
    </w:p>
    <w:sectPr>
      <w:headerReference w:type="default" r:id="rId5"/>
      <w:footerReference w:type="default" r:id="rId6"/>
      <w:pgSz w:w="11900" w:h="16840" w:orient="portrait"/>
      <w:pgMar w:top="284" w:right="567" w:bottom="851" w:left="1701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